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涧西区应急管理局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val="en-US" w:eastAsia="zh-CN"/>
        </w:rPr>
        <w:t>2025年7-9月</w:t>
      </w:r>
      <w:r>
        <w:rPr>
          <w:rFonts w:hint="eastAsia" w:ascii="方正小标宋简体" w:hAnsi="方正小标宋简体" w:eastAsia="方正小标宋简体" w:cs="方正小标宋简体"/>
          <w:color w:val="auto"/>
          <w:sz w:val="44"/>
          <w:szCs w:val="44"/>
        </w:rPr>
        <w:t>行政处罚公示</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9"/>
        <w:gridCol w:w="6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被处罚单位</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河南歌图石油能源贸易有限公司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行政处罚结果</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罚款人民币40000元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行政处罚决定时间</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2025年7月26日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行政处罚事由</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sz w:val="24"/>
                <w:szCs w:val="24"/>
                <w:u w:val="none"/>
                <w:lang w:val="en-US" w:eastAsia="zh-CN"/>
              </w:rPr>
              <w:t>2025年7月1日计划执法检查过程中发现该单位负责人与安全员的安全生产知识和管理能力资格证未按照规定时间复审.</w:t>
            </w:r>
            <w:bookmarkStart w:id="0" w:name="OLE_LINK3"/>
            <w:r>
              <w:rPr>
                <w:rFonts w:hint="eastAsia" w:ascii="仿宋_GB2312" w:hAnsi="仿宋_GB2312" w:eastAsia="仿宋_GB2312" w:cs="仿宋_GB2312"/>
                <w:sz w:val="24"/>
                <w:szCs w:val="24"/>
                <w:u w:val="none"/>
                <w:lang w:val="en-US" w:eastAsia="zh-CN"/>
              </w:rPr>
              <w:t>其行为违反了《中华人民共和国安全生产法》第二十七条第二款</w:t>
            </w:r>
            <w:bookmarkEnd w:id="0"/>
            <w:r>
              <w:rPr>
                <w:rFonts w:hint="eastAsia" w:ascii="仿宋_GB2312" w:hAnsi="仿宋_GB2312" w:eastAsia="仿宋_GB2312" w:cs="仿宋_GB2312"/>
                <w:sz w:val="24"/>
                <w:szCs w:val="24"/>
                <w:u w:val="none"/>
                <w:lang w:val="en-US" w:eastAsia="zh-CN"/>
              </w:rPr>
              <w:t>：“危险物品的生产、经营、储存、装卸单位以及矿山、金属冶炼、建筑施工、运输单位的主要负责人和安全人员，应当由主管的负有安全生产监督管理职责的部门对其安全生产知识和管理能力考核合格”之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行政处罚依据</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《中华人民共和国安全生产法》第九十七条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救济渠道</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行政复议和行政诉讼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备    注</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公示期限为1年</w:t>
            </w:r>
          </w:p>
        </w:tc>
      </w:tr>
    </w:tbl>
    <w:p>
      <w:pPr>
        <w:pStyle w:val="2"/>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9"/>
        <w:gridCol w:w="6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被处罚单位</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洛阳市晓辉加油站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行政处罚结果</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给予警告，并处</w:t>
            </w:r>
            <w:r>
              <w:rPr>
                <w:rFonts w:hint="eastAsia" w:ascii="仿宋_GB2312" w:hAnsi="仿宋_GB2312" w:eastAsia="仿宋_GB2312" w:cs="仿宋_GB2312"/>
                <w:color w:val="auto"/>
                <w:sz w:val="24"/>
                <w:szCs w:val="24"/>
                <w:vertAlign w:val="baseline"/>
                <w:lang w:val="en-US" w:eastAsia="zh-CN"/>
              </w:rPr>
              <w:t>15000</w:t>
            </w:r>
            <w:r>
              <w:rPr>
                <w:rFonts w:hint="default" w:ascii="仿宋_GB2312" w:hAnsi="仿宋_GB2312" w:eastAsia="仿宋_GB2312" w:cs="仿宋_GB2312"/>
                <w:color w:val="auto"/>
                <w:sz w:val="24"/>
                <w:szCs w:val="24"/>
                <w:vertAlign w:val="baseline"/>
                <w:lang w:val="en-US" w:eastAsia="zh-CN"/>
              </w:rPr>
              <w:t>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行政处罚决定时间</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2025年7月29日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行政处罚事由</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sz w:val="24"/>
                <w:szCs w:val="24"/>
                <w:lang w:val="en-US" w:eastAsia="zh-CN"/>
              </w:rPr>
              <w:t>20</w:t>
            </w:r>
            <w:r>
              <w:rPr>
                <w:rFonts w:hint="eastAsia" w:ascii="仿宋_GB2312" w:hAnsi="仿宋_GB2312" w:eastAsia="仿宋_GB2312" w:cs="仿宋_GB2312"/>
                <w:sz w:val="24"/>
                <w:szCs w:val="24"/>
                <w:u w:val="none"/>
                <w:lang w:val="en-US" w:eastAsia="zh-CN"/>
              </w:rPr>
              <w:t>25年7月1日，我局执法人员依法对</w:t>
            </w:r>
            <w:r>
              <w:rPr>
                <w:rFonts w:hint="eastAsia" w:ascii="仿宋_GB2312" w:hAnsi="仿宋_GB2312" w:eastAsia="仿宋_GB2312" w:cs="仿宋_GB2312"/>
                <w:color w:val="auto"/>
                <w:sz w:val="24"/>
                <w:szCs w:val="24"/>
                <w:vertAlign w:val="baseline"/>
                <w:lang w:val="en-US" w:eastAsia="zh-CN"/>
              </w:rPr>
              <w:t>洛阳市晓辉加油站</w:t>
            </w:r>
            <w:r>
              <w:rPr>
                <w:rFonts w:hint="eastAsia" w:ascii="仿宋_GB2312" w:hAnsi="仿宋_GB2312" w:eastAsia="仿宋_GB2312" w:cs="仿宋_GB2312"/>
                <w:sz w:val="24"/>
                <w:szCs w:val="24"/>
                <w:u w:val="none"/>
                <w:lang w:val="en-US" w:eastAsia="zh-CN"/>
              </w:rPr>
              <w:t>开展执法检查时发现，该单位未按加油站作业安全规范违规实施卸油作业。其行为违反了《加油站作业安全规范》AQ3010-20226卸油作业安全要求及《安全生产违法行为行政处罚办法》第四十五条第（一）项、第（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6"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行政处罚依据</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《安全生产违法行为行政处罚办法》第四十五条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救济渠道</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行政复议和行政诉讼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备    注</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公示期限为1年</w:t>
            </w:r>
          </w:p>
        </w:tc>
      </w:tr>
    </w:tbl>
    <w:p/>
    <w:p/>
    <w:p>
      <w:pPr>
        <w:pStyle w:val="2"/>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9"/>
        <w:gridCol w:w="6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被处罚单位</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孙晓辉（洛阳市晓辉加油站负责人）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行政处罚结果</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给予警告，并处</w:t>
            </w:r>
            <w:r>
              <w:rPr>
                <w:rFonts w:hint="eastAsia" w:ascii="仿宋_GB2312" w:hAnsi="仿宋_GB2312" w:eastAsia="仿宋_GB2312" w:cs="仿宋_GB2312"/>
                <w:color w:val="auto"/>
                <w:sz w:val="24"/>
                <w:szCs w:val="24"/>
                <w:vertAlign w:val="baseline"/>
                <w:lang w:val="en-US" w:eastAsia="zh-CN"/>
              </w:rPr>
              <w:t>3000元</w:t>
            </w:r>
            <w:r>
              <w:rPr>
                <w:rFonts w:hint="default" w:ascii="仿宋_GB2312" w:hAnsi="仿宋_GB2312" w:eastAsia="仿宋_GB2312" w:cs="仿宋_GB2312"/>
                <w:color w:val="auto"/>
                <w:sz w:val="24"/>
                <w:szCs w:val="24"/>
                <w:vertAlign w:val="baseline"/>
                <w:lang w:val="en-US" w:eastAsia="zh-CN"/>
              </w:rPr>
              <w:t>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行政处罚决定时间</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2025年7月29日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行政处罚事由</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sz w:val="24"/>
                <w:szCs w:val="24"/>
                <w:lang w:val="en-US" w:eastAsia="zh-CN"/>
              </w:rPr>
              <w:t>20</w:t>
            </w:r>
            <w:r>
              <w:rPr>
                <w:rFonts w:hint="eastAsia" w:ascii="仿宋_GB2312" w:hAnsi="仿宋_GB2312" w:eastAsia="仿宋_GB2312" w:cs="仿宋_GB2312"/>
                <w:sz w:val="24"/>
                <w:szCs w:val="24"/>
                <w:u w:val="none"/>
                <w:lang w:val="en-US" w:eastAsia="zh-CN"/>
              </w:rPr>
              <w:t>25年7月1日，我局执法人员依法对</w:t>
            </w:r>
            <w:r>
              <w:rPr>
                <w:rFonts w:hint="eastAsia" w:ascii="仿宋_GB2312" w:hAnsi="仿宋_GB2312" w:eastAsia="仿宋_GB2312" w:cs="仿宋_GB2312"/>
                <w:color w:val="auto"/>
                <w:sz w:val="24"/>
                <w:szCs w:val="24"/>
                <w:vertAlign w:val="baseline"/>
                <w:lang w:val="en-US" w:eastAsia="zh-CN"/>
              </w:rPr>
              <w:t>洛阳市晓辉加油站</w:t>
            </w:r>
            <w:r>
              <w:rPr>
                <w:rFonts w:hint="eastAsia" w:ascii="仿宋_GB2312" w:hAnsi="仿宋_GB2312" w:eastAsia="仿宋_GB2312" w:cs="仿宋_GB2312"/>
                <w:sz w:val="24"/>
                <w:szCs w:val="24"/>
                <w:u w:val="none"/>
                <w:lang w:val="en-US" w:eastAsia="zh-CN"/>
              </w:rPr>
              <w:t>开展执法检查时发现，该单位未按加油站作业安全规范违规实施卸油作业。其行为违反了《加油站作业安全规范》AQ3010-20226卸油作业安全要求及《安全生产违法行为行政处罚办法》第四十五条第（一）项、第（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行政处罚依据</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《安全生产违法行为行政处罚办法》第四十五条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救济渠道</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行政复议和行政诉讼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备    注</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公示期限为1年</w:t>
            </w:r>
          </w:p>
        </w:tc>
      </w:tr>
    </w:tbl>
    <w:p>
      <w:pPr>
        <w:pStyle w:val="2"/>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9"/>
        <w:gridCol w:w="6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被处罚单位</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高银利（洛阳市晓辉加油站卸油员）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行政处罚结果</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给予警告，并处</w:t>
            </w:r>
            <w:r>
              <w:rPr>
                <w:rFonts w:hint="eastAsia" w:ascii="仿宋_GB2312" w:hAnsi="仿宋_GB2312" w:eastAsia="仿宋_GB2312" w:cs="仿宋_GB2312"/>
                <w:color w:val="auto"/>
                <w:sz w:val="24"/>
                <w:szCs w:val="24"/>
                <w:vertAlign w:val="baseline"/>
                <w:lang w:val="en-US" w:eastAsia="zh-CN"/>
              </w:rPr>
              <w:t>2000元</w:t>
            </w:r>
            <w:r>
              <w:rPr>
                <w:rFonts w:hint="default" w:ascii="仿宋_GB2312" w:hAnsi="仿宋_GB2312" w:eastAsia="仿宋_GB2312" w:cs="仿宋_GB2312"/>
                <w:color w:val="auto"/>
                <w:sz w:val="24"/>
                <w:szCs w:val="24"/>
                <w:vertAlign w:val="baseline"/>
                <w:lang w:val="en-US" w:eastAsia="zh-CN"/>
              </w:rPr>
              <w:t>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行政处罚决定时间</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2025年7月29日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行政处罚事由</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sz w:val="24"/>
                <w:szCs w:val="24"/>
                <w:lang w:val="en-US" w:eastAsia="zh-CN"/>
              </w:rPr>
              <w:t>20</w:t>
            </w:r>
            <w:r>
              <w:rPr>
                <w:rFonts w:hint="eastAsia" w:ascii="仿宋_GB2312" w:hAnsi="仿宋_GB2312" w:eastAsia="仿宋_GB2312" w:cs="仿宋_GB2312"/>
                <w:sz w:val="24"/>
                <w:szCs w:val="24"/>
                <w:u w:val="none"/>
                <w:lang w:val="en-US" w:eastAsia="zh-CN"/>
              </w:rPr>
              <w:t>25年7月1日，我局执法人员依法对</w:t>
            </w:r>
            <w:r>
              <w:rPr>
                <w:rFonts w:hint="eastAsia" w:ascii="仿宋_GB2312" w:hAnsi="仿宋_GB2312" w:eastAsia="仿宋_GB2312" w:cs="仿宋_GB2312"/>
                <w:color w:val="auto"/>
                <w:sz w:val="24"/>
                <w:szCs w:val="24"/>
                <w:vertAlign w:val="baseline"/>
                <w:lang w:val="en-US" w:eastAsia="zh-CN"/>
              </w:rPr>
              <w:t>洛阳市晓辉加油站</w:t>
            </w:r>
            <w:r>
              <w:rPr>
                <w:rFonts w:hint="eastAsia" w:ascii="仿宋_GB2312" w:hAnsi="仿宋_GB2312" w:eastAsia="仿宋_GB2312" w:cs="仿宋_GB2312"/>
                <w:sz w:val="24"/>
                <w:szCs w:val="24"/>
                <w:u w:val="none"/>
                <w:lang w:val="en-US" w:eastAsia="zh-CN"/>
              </w:rPr>
              <w:t>开展执法检查时发现，该单位未按加油站作业安全规范违规实施卸油作业。其行为违反了《加油站作业安全规范》AQ3010-20226卸油作业安全要求及《安全生产违法行为行政处罚办法》第四十五条第（一）项、第（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行政处罚依据</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《安全生产违法行为行政处罚办法》第四十五条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救济渠道</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行政复议和行政诉讼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备    注</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公示期限为1年</w:t>
            </w:r>
          </w:p>
        </w:tc>
      </w:tr>
    </w:tbl>
    <w:p>
      <w:pPr>
        <w:pStyle w:val="2"/>
      </w:pPr>
    </w:p>
    <w:p>
      <w:pPr>
        <w:pStyle w:val="2"/>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9"/>
        <w:gridCol w:w="6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被处罚单位</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洛阳科奥重型机械有限公司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行政处罚结果</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罚款</w:t>
            </w:r>
            <w:r>
              <w:rPr>
                <w:rFonts w:hint="eastAsia" w:ascii="仿宋_GB2312" w:hAnsi="仿宋_GB2312" w:eastAsia="仿宋_GB2312" w:cs="仿宋_GB2312"/>
                <w:color w:val="auto"/>
                <w:sz w:val="24"/>
                <w:szCs w:val="24"/>
                <w:vertAlign w:val="baseline"/>
                <w:lang w:val="en-US" w:eastAsia="zh-CN"/>
              </w:rPr>
              <w:t>人民币5000元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行政处罚决定时间</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2025年9月12日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行政处罚事由</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sz w:val="24"/>
                <w:szCs w:val="24"/>
                <w:u w:val="none"/>
                <w:lang w:val="en-US" w:eastAsia="zh-CN"/>
              </w:rPr>
              <w:t>2025年8月6日我局执法人员亮证到洛阳科奥重型机械有限公司进行检查，现场发现该公司加工车间内有1名焊工宋根跃无证进行焊接作业，其行为违反了《中华人民共和国安全生产法》第三十条第一款：“生产经营单位的特种作业人员必须按照国家有关规定经专门的安全作业培训，取得相应资格，方可上岗作业。”之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行政处罚依据</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《中华人民共和国安全生产法》第九十七条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救济渠道</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行政复议和行政诉讼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备    注</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公示期限为1年</w:t>
            </w:r>
          </w:p>
        </w:tc>
      </w:tr>
    </w:tbl>
    <w:p>
      <w:pPr>
        <w:pStyle w:val="2"/>
      </w:pPr>
      <w:bookmarkStart w:id="3" w:name="_GoBack"/>
      <w:bookmarkEnd w:id="3"/>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9"/>
        <w:gridCol w:w="6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bookmarkStart w:id="1" w:name="OLE_LINK1" w:colFirst="0" w:colLast="1"/>
            <w:r>
              <w:rPr>
                <w:rFonts w:hint="eastAsia" w:ascii="仿宋_GB2312" w:hAnsi="仿宋_GB2312" w:eastAsia="仿宋_GB2312" w:cs="仿宋_GB2312"/>
                <w:b/>
                <w:bCs/>
                <w:color w:val="auto"/>
                <w:sz w:val="24"/>
                <w:szCs w:val="24"/>
                <w:vertAlign w:val="baseline"/>
                <w:lang w:val="en-US" w:eastAsia="zh-CN"/>
              </w:rPr>
              <w:t>被处罚单位</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洛阳盛瑞环保科技有限公司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行政处罚结果</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罚款</w:t>
            </w:r>
            <w:r>
              <w:rPr>
                <w:rFonts w:hint="eastAsia" w:ascii="仿宋_GB2312" w:hAnsi="仿宋_GB2312" w:eastAsia="仿宋_GB2312" w:cs="仿宋_GB2312"/>
                <w:color w:val="auto"/>
                <w:sz w:val="24"/>
                <w:szCs w:val="24"/>
                <w:vertAlign w:val="baseline"/>
                <w:lang w:val="en-US" w:eastAsia="zh-CN"/>
              </w:rPr>
              <w:t>人民币8000元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行政处罚决定时间</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2025年9月1日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行政处罚事由</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sz w:val="24"/>
                <w:szCs w:val="24"/>
                <w:lang w:val="en-US" w:eastAsia="zh-CN"/>
              </w:rPr>
              <w:t>我单位执法人员在2025年8月14日检查中发现，洛阳盛瑞环保科技有限公司未与承租单位签订安全管理协议，其行为违反了《中华人民共和国安全生产法》第四十九条第二款。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1"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行政处罚依据</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both"/>
              <w:textAlignment w:val="auto"/>
              <w:rPr>
                <w:rFonts w:hint="default" w:ascii="仿宋_GB2312" w:hAnsi="仿宋_GB2312" w:eastAsia="仿宋_GB2312" w:cs="仿宋_GB2312"/>
                <w:color w:val="auto"/>
                <w:sz w:val="24"/>
                <w:szCs w:val="24"/>
                <w:vertAlign w:val="baseline"/>
                <w:lang w:val="en-US" w:eastAsia="zh-CN"/>
              </w:rPr>
            </w:pPr>
            <w:bookmarkStart w:id="2" w:name="OLE_LINK2"/>
            <w:r>
              <w:rPr>
                <w:rFonts w:hint="default" w:ascii="仿宋_GB2312" w:hAnsi="仿宋_GB2312" w:eastAsia="仿宋_GB2312" w:cs="仿宋_GB2312"/>
                <w:color w:val="auto"/>
                <w:sz w:val="24"/>
                <w:szCs w:val="24"/>
                <w:vertAlign w:val="baseline"/>
                <w:lang w:val="en-US" w:eastAsia="zh-CN"/>
              </w:rPr>
              <w:t>《中华人民共和国安全生产法》第一百零三条第二款</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救济渠道</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行政复议和行政诉讼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备    注</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公示期限为1年</w:t>
            </w:r>
          </w:p>
        </w:tc>
      </w:tr>
      <w:bookmarkEnd w:id="1"/>
    </w:tbl>
    <w:p>
      <w:pPr>
        <w:pStyle w:val="2"/>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9"/>
        <w:gridCol w:w="6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被处罚单位</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王东辉（洛阳盛瑞环保科技有限公司负责人）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行政处罚结果</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罚款</w:t>
            </w:r>
            <w:r>
              <w:rPr>
                <w:rFonts w:hint="eastAsia" w:ascii="仿宋_GB2312" w:hAnsi="仿宋_GB2312" w:eastAsia="仿宋_GB2312" w:cs="仿宋_GB2312"/>
                <w:color w:val="auto"/>
                <w:sz w:val="24"/>
                <w:szCs w:val="24"/>
                <w:vertAlign w:val="baseline"/>
                <w:lang w:val="en-US" w:eastAsia="zh-CN"/>
              </w:rPr>
              <w:t>人民币2000元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行政处罚决定时间</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2025年9月1日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行政处罚事由</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sz w:val="24"/>
                <w:szCs w:val="24"/>
                <w:lang w:val="en-US" w:eastAsia="zh-CN"/>
              </w:rPr>
              <w:t>我单位执法人员在2025年8月14日检查中发现，洛阳盛瑞环保科技有限公司未与承租单位签订安全管理协议，其行为违反了《中华人民共和国安全生产法》第四十九条第二款。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4"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行政处罚依据</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《中华人民共和国安全生产法》第一百零三条第二款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救济渠道</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行政复议和行政诉讼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备    注</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公示期限为1年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被处罚单位</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洛阳市弘尚机械设备有限公司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行政处罚结果</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罚款</w:t>
            </w:r>
            <w:r>
              <w:rPr>
                <w:rFonts w:hint="eastAsia" w:ascii="仿宋_GB2312" w:hAnsi="仿宋_GB2312" w:eastAsia="仿宋_GB2312" w:cs="仿宋_GB2312"/>
                <w:color w:val="auto"/>
                <w:sz w:val="24"/>
                <w:szCs w:val="24"/>
                <w:vertAlign w:val="baseline"/>
                <w:lang w:val="en-US" w:eastAsia="zh-CN"/>
              </w:rPr>
              <w:t>人民币5000元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行政处罚决定时间</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2025年9月26日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3"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行政处罚事由</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sz w:val="24"/>
                <w:szCs w:val="24"/>
                <w:lang w:val="en-US" w:eastAsia="zh-CN"/>
              </w:rPr>
              <w:t>2025年</w:t>
            </w:r>
            <w:r>
              <w:rPr>
                <w:rFonts w:hint="eastAsia" w:ascii="仿宋_GB2312" w:hAnsi="仿宋_GB2312" w:eastAsia="仿宋_GB2312" w:cs="仿宋_GB2312"/>
                <w:b w:val="0"/>
                <w:bCs w:val="0"/>
                <w:sz w:val="24"/>
                <w:szCs w:val="24"/>
                <w:lang w:val="en-US" w:eastAsia="zh-CN"/>
              </w:rPr>
              <w:t>9月8日，我局执法人员对</w:t>
            </w:r>
            <w:r>
              <w:rPr>
                <w:rFonts w:hint="eastAsia" w:ascii="仿宋_GB2312" w:hAnsi="仿宋_GB2312" w:eastAsia="仿宋_GB2312" w:cs="仿宋_GB2312"/>
                <w:color w:val="auto"/>
                <w:sz w:val="24"/>
                <w:szCs w:val="24"/>
                <w:vertAlign w:val="baseline"/>
                <w:lang w:val="en-US" w:eastAsia="zh-CN"/>
              </w:rPr>
              <w:t>洛阳市弘尚机械设备有限公司</w:t>
            </w:r>
            <w:r>
              <w:rPr>
                <w:rFonts w:hint="eastAsia" w:ascii="仿宋_GB2312" w:hAnsi="仿宋_GB2312" w:eastAsia="仿宋_GB2312" w:cs="仿宋_GB2312"/>
                <w:b w:val="0"/>
                <w:bCs w:val="0"/>
                <w:sz w:val="24"/>
                <w:szCs w:val="24"/>
                <w:lang w:val="en-US" w:eastAsia="zh-CN"/>
              </w:rPr>
              <w:t>现场核查，</w:t>
            </w:r>
            <w:r>
              <w:rPr>
                <w:rFonts w:hint="eastAsia" w:ascii="仿宋_GB2312" w:hAnsi="仿宋_GB2312" w:eastAsia="仿宋_GB2312" w:cs="仿宋_GB2312"/>
                <w:b w:val="0"/>
                <w:bCs w:val="0"/>
                <w:sz w:val="24"/>
                <w:szCs w:val="24"/>
                <w:u w:val="none"/>
                <w:lang w:val="en-US" w:eastAsia="zh-CN"/>
              </w:rPr>
              <w:t>现场发现2处正在使用的乙炔瓶无防倾倒装置。其行为违反了</w:t>
            </w:r>
            <w:r>
              <w:rPr>
                <w:rFonts w:hint="eastAsia" w:ascii="仿宋_GB2312" w:hAnsi="仿宋_GB2312" w:eastAsia="仿宋_GB2312" w:cs="仿宋_GB2312"/>
                <w:sz w:val="24"/>
                <w:szCs w:val="24"/>
                <w:highlight w:val="none"/>
                <w:lang w:val="en-US" w:eastAsia="zh-CN"/>
              </w:rPr>
              <w:t>《中华人民共和国安全生产法》第四十一条第二款</w:t>
            </w:r>
            <w:r>
              <w:rPr>
                <w:rFonts w:hint="eastAsia" w:ascii="仿宋_GB2312" w:hAnsi="仿宋_GB2312" w:eastAsia="仿宋_GB2312" w:cs="仿宋_GB2312"/>
                <w:sz w:val="24"/>
                <w:szCs w:val="24"/>
                <w:u w:val="none"/>
                <w:lang w:val="en-US" w:eastAsia="zh-CN"/>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行政处罚依据</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default" w:ascii="仿宋_GB2312" w:hAnsi="仿宋_GB2312" w:eastAsia="仿宋_GB2312" w:cs="仿宋_GB2312"/>
                <w:color w:val="auto"/>
                <w:sz w:val="24"/>
                <w:szCs w:val="24"/>
                <w:vertAlign w:val="baseline"/>
                <w:lang w:val="en-US" w:eastAsia="zh-CN"/>
              </w:rPr>
              <w:t>《中华人民共和国安全生产法》第九十七条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救济渠道</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行政复议和行政诉讼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7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color w:val="auto"/>
                <w:sz w:val="24"/>
                <w:szCs w:val="24"/>
                <w:vertAlign w:val="baseline"/>
                <w:lang w:val="en-US" w:eastAsia="zh-CN"/>
              </w:rPr>
            </w:pPr>
            <w:r>
              <w:rPr>
                <w:rFonts w:hint="eastAsia" w:ascii="仿宋_GB2312" w:hAnsi="仿宋_GB2312" w:eastAsia="仿宋_GB2312" w:cs="仿宋_GB2312"/>
                <w:b/>
                <w:bCs/>
                <w:color w:val="auto"/>
                <w:sz w:val="24"/>
                <w:szCs w:val="24"/>
                <w:vertAlign w:val="baseline"/>
                <w:lang w:val="en-US" w:eastAsia="zh-CN"/>
              </w:rPr>
              <w:t>备    注</w:t>
            </w:r>
          </w:p>
        </w:tc>
        <w:tc>
          <w:tcPr>
            <w:tcW w:w="61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公示期限为1年</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1A70A9"/>
    <w:rsid w:val="21755BA9"/>
    <w:rsid w:val="21EE5A60"/>
    <w:rsid w:val="2B1614B9"/>
    <w:rsid w:val="303D63A8"/>
    <w:rsid w:val="5A4065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erke</dc:creator>
  <cp:lastModifiedBy>erke</cp:lastModifiedBy>
  <dcterms:modified xsi:type="dcterms:W3CDTF">2025-11-13T03:11:14Z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